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en-US" w:eastAsia="zh-CN"/>
        </w:rPr>
        <w:t>英吉沙县克孜勒乡铁提米其村生态林建设项目</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英吉沙县水利局</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英吉沙县发展和改革委员会</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喀米力</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lang w:val="en-US" w:eastAsia="zh-CN"/>
        </w:rPr>
        <w:t>28</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624" w:firstLineChars="200"/>
        <w:rPr>
          <w:rFonts w:hint="eastAsia"/>
          <w:lang w:val="en-US" w:eastAsia="zh-CN"/>
        </w:rPr>
      </w:pPr>
      <w:r>
        <w:rPr>
          <w:rStyle w:val="18"/>
          <w:rFonts w:hint="eastAsia" w:ascii="仿宋" w:hAnsi="仿宋" w:eastAsia="仿宋"/>
          <w:b/>
          <w:bCs w:val="0"/>
          <w:color w:val="auto"/>
          <w:spacing w:val="-4"/>
          <w:sz w:val="32"/>
          <w:szCs w:val="32"/>
          <w:lang w:eastAsia="zh-CN"/>
        </w:rPr>
        <w:t>实施单位：英吉沙县水利局</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英吉沙县克孜勒乡铁提米其村生态经济林建设</w:t>
      </w:r>
      <w:r>
        <w:rPr>
          <w:rFonts w:hint="eastAsia" w:ascii="仿宋_GB2312" w:eastAsia="仿宋_GB2312"/>
          <w:sz w:val="32"/>
          <w:szCs w:val="32"/>
          <w:lang w:eastAsia="zh-CN"/>
        </w:rPr>
        <w:t>，建设内容为建设生态经济林面积8000亩，新建17眼机电井及设备配套；机电设备启动电源，新建高压输电线14.5公里；新建17座泵房；铺设68544mUPVC低压管道系统及配件安装；灌溉方式采用低压管道灌水，利用新打机井进行灌溉。</w:t>
      </w:r>
      <w:r>
        <w:rPr>
          <w:rFonts w:hint="eastAsia" w:ascii="仿宋_GB2312" w:eastAsia="仿宋_GB2312"/>
          <w:sz w:val="32"/>
          <w:szCs w:val="32"/>
          <w:lang w:val="en-US" w:eastAsia="zh-CN"/>
        </w:rPr>
        <w:t>2017年到位资金258.9559万元，已全部执行完毕。</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新增项目。</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项目建成后，能正常使用，从而达到节水效率，同时，促进了项目区农村经济的可持续发展，增加了农民收入。</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bCs/>
          <w:color w:val="000000" w:themeColor="text1"/>
          <w:sz w:val="32"/>
          <w:szCs w:val="32"/>
          <w:lang w:val="en-US" w:eastAsia="zh-CN"/>
        </w:rPr>
      </w:pPr>
      <w:r>
        <w:rPr>
          <w:rFonts w:hint="eastAsia" w:ascii="仿宋" w:hAnsi="仿宋" w:eastAsia="仿宋" w:cs="仿宋"/>
          <w:b/>
          <w:bCs/>
          <w:color w:val="000000" w:themeColor="text1"/>
          <w:sz w:val="32"/>
          <w:szCs w:val="32"/>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1、项目资金到位情况分析</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2018年到位资金33.14万元，已全部执行完毕，执行率100%。</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2018年到位资金33.14万元，已全部执行完毕，执行率100%。</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color w:val="auto"/>
          <w:spacing w:val="-4"/>
          <w:sz w:val="32"/>
          <w:szCs w:val="32"/>
        </w:rPr>
        <w:t>项目</w:t>
      </w:r>
      <w:r>
        <w:rPr>
          <w:rFonts w:hint="eastAsia" w:ascii="仿宋" w:hAnsi="仿宋" w:eastAsia="仿宋"/>
          <w:bCs/>
          <w:color w:val="auto"/>
          <w:spacing w:val="-4"/>
          <w:sz w:val="32"/>
          <w:szCs w:val="32"/>
          <w:lang w:eastAsia="zh-CN"/>
        </w:rPr>
        <w:t>资金的</w:t>
      </w:r>
      <w:r>
        <w:rPr>
          <w:rFonts w:hint="eastAsia" w:ascii="仿宋" w:hAnsi="仿宋" w:eastAsia="仿宋"/>
          <w:bCs/>
          <w:color w:val="auto"/>
          <w:spacing w:val="-4"/>
          <w:sz w:val="32"/>
          <w:szCs w:val="32"/>
        </w:rPr>
        <w:t>支出符合</w:t>
      </w:r>
      <w:r>
        <w:rPr>
          <w:rFonts w:hint="eastAsia" w:ascii="仿宋" w:hAnsi="仿宋" w:eastAsia="仿宋"/>
          <w:bCs/>
          <w:color w:val="auto"/>
          <w:spacing w:val="-4"/>
          <w:sz w:val="32"/>
          <w:szCs w:val="32"/>
          <w:lang w:eastAsia="zh-CN"/>
        </w:rPr>
        <w:t>喀什地区</w:t>
      </w:r>
      <w:r>
        <w:rPr>
          <w:rFonts w:hint="eastAsia" w:ascii="仿宋" w:hAnsi="仿宋" w:eastAsia="仿宋"/>
          <w:bCs/>
          <w:color w:val="auto"/>
          <w:spacing w:val="-4"/>
          <w:sz w:val="32"/>
          <w:szCs w:val="32"/>
        </w:rPr>
        <w:t>相关财务管理制度，包括会计人员集中核算工作管</w:t>
      </w:r>
      <w:bookmarkStart w:id="0" w:name="_GoBack"/>
      <w:bookmarkEnd w:id="0"/>
      <w:r>
        <w:rPr>
          <w:rFonts w:hint="eastAsia" w:ascii="仿宋" w:hAnsi="仿宋" w:eastAsia="仿宋"/>
          <w:bCs/>
          <w:color w:val="auto"/>
          <w:spacing w:val="-4"/>
          <w:sz w:val="32"/>
          <w:szCs w:val="32"/>
        </w:rPr>
        <w:t>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eastAsia="zh-CN"/>
        </w:rPr>
        <w:t>为确保项目的顺利实施，水利局加强了项目建设前、中、后的管理以及项目资金的监督管理。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Fonts w:hint="eastAsia" w:ascii="仿宋" w:hAnsi="仿宋" w:eastAsia="仿宋"/>
          <w:bCs/>
          <w:color w:val="auto"/>
          <w:spacing w:val="-4"/>
          <w:sz w:val="32"/>
          <w:szCs w:val="32"/>
          <w:lang w:eastAsia="zh-CN"/>
        </w:rPr>
        <w:t>项目管理制度建设方面：</w:t>
      </w:r>
      <w:r>
        <w:rPr>
          <w:rStyle w:val="18"/>
          <w:rFonts w:hint="eastAsia" w:ascii="仿宋" w:hAnsi="仿宋" w:eastAsia="仿宋"/>
          <w:b w:val="0"/>
          <w:color w:val="auto"/>
          <w:spacing w:val="-4"/>
          <w:sz w:val="32"/>
          <w:szCs w:val="32"/>
          <w:lang w:val="en-US" w:eastAsia="zh-CN"/>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监督检查管理方面：建立严格的监督检查机制，强化追责问责，确保水利建设加快推进。采取检查、专项稽查、定期督导等方式，全面加强督导检查。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val="en-US" w:eastAsia="zh-CN"/>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Style w:val="18"/>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该项目已全部建设完成，并通过单位工程验收。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在项目工程质量方面，我单位严格按照相关规定，对质量进行严格管控，确保项目质量，发挥正常效益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通过开展项目的建设实施，改善了项目区的经济发展，促进了农村经济收入。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成后，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通过项目的实施，水利基础设施不断改善，灌溉条件得到有效改善，最终受益为项目区广大农民群众，农民收入不断提高，得到农民群众的肯定。</w:t>
      </w:r>
    </w:p>
    <w:p>
      <w:pPr>
        <w:pStyle w:val="2"/>
        <w:rPr>
          <w:rFonts w:hint="eastAsia"/>
          <w:i w:val="0"/>
          <w:iCs w:val="0"/>
          <w:lang w:val="en-US" w:eastAsia="zh-CN"/>
        </w:rPr>
      </w:pPr>
      <w:r>
        <w:rPr>
          <w:rFonts w:hint="eastAsia" w:ascii="仿宋" w:hAnsi="仿宋" w:eastAsia="仿宋" w:cs="仿宋"/>
          <w:i w:val="0"/>
          <w:iCs w:val="0"/>
          <w:sz w:val="32"/>
          <w:szCs w:val="32"/>
          <w:lang w:val="en-US" w:eastAsia="zh-CN"/>
        </w:rPr>
        <w:t>注：完成三级指标12个</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该</w:t>
      </w:r>
      <w:r>
        <w:rPr>
          <w:rFonts w:hint="eastAsia" w:ascii="仿宋" w:hAnsi="仿宋" w:eastAsia="仿宋"/>
          <w:color w:val="auto"/>
          <w:spacing w:val="-4"/>
          <w:sz w:val="32"/>
          <w:szCs w:val="32"/>
        </w:rPr>
        <w:t>项目资金的使用效率和效果，项目</w:t>
      </w:r>
      <w:r>
        <w:rPr>
          <w:rFonts w:hint="eastAsia" w:ascii="仿宋" w:hAnsi="仿宋" w:eastAsia="仿宋"/>
          <w:color w:val="auto"/>
          <w:spacing w:val="-4"/>
          <w:sz w:val="32"/>
          <w:szCs w:val="32"/>
          <w:lang w:eastAsia="zh-CN"/>
        </w:rPr>
        <w:t>建设</w:t>
      </w:r>
      <w:r>
        <w:rPr>
          <w:rFonts w:hint="eastAsia" w:ascii="仿宋" w:hAnsi="仿宋" w:eastAsia="仿宋"/>
          <w:color w:val="auto"/>
          <w:spacing w:val="-4"/>
          <w:sz w:val="32"/>
          <w:szCs w:val="32"/>
        </w:rPr>
        <w:t>管理过程规范，完成了预期绩效目标。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hint="eastAsia" w:ascii="仿宋" w:hAnsi="仿宋" w:eastAsia="仿宋"/>
          <w:spacing w:val="-4"/>
          <w:sz w:val="32"/>
          <w:szCs w:val="32"/>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023DB6"/>
    <w:rsid w:val="024A692C"/>
    <w:rsid w:val="09A649EB"/>
    <w:rsid w:val="0C3B7F45"/>
    <w:rsid w:val="0E1955EA"/>
    <w:rsid w:val="0FB52C06"/>
    <w:rsid w:val="12B823A9"/>
    <w:rsid w:val="134438FA"/>
    <w:rsid w:val="14157AFE"/>
    <w:rsid w:val="14652ED2"/>
    <w:rsid w:val="15DA37EC"/>
    <w:rsid w:val="16D81468"/>
    <w:rsid w:val="1C4164E6"/>
    <w:rsid w:val="2072006E"/>
    <w:rsid w:val="215A672C"/>
    <w:rsid w:val="2326186E"/>
    <w:rsid w:val="24744E87"/>
    <w:rsid w:val="24A641B0"/>
    <w:rsid w:val="25A30386"/>
    <w:rsid w:val="28E40B19"/>
    <w:rsid w:val="29E04CBB"/>
    <w:rsid w:val="2F3D0A5A"/>
    <w:rsid w:val="34A37EFB"/>
    <w:rsid w:val="390B4713"/>
    <w:rsid w:val="39CD7BB6"/>
    <w:rsid w:val="44960B80"/>
    <w:rsid w:val="475C51CF"/>
    <w:rsid w:val="493B20BC"/>
    <w:rsid w:val="4F4F420F"/>
    <w:rsid w:val="5CFA211B"/>
    <w:rsid w:val="61F931F9"/>
    <w:rsid w:val="63957AF7"/>
    <w:rsid w:val="69AD6382"/>
    <w:rsid w:val="6C3174A0"/>
    <w:rsid w:val="6E0C70FC"/>
    <w:rsid w:val="707F14F6"/>
    <w:rsid w:val="72A53E79"/>
    <w:rsid w:val="74291907"/>
    <w:rsid w:val="778256EF"/>
    <w:rsid w:val="79B771C1"/>
    <w:rsid w:val="79E23170"/>
    <w:rsid w:val="7A805E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6</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2019-01-30T08:23:59Z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